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F0113" w14:textId="267DC28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0628E">
        <w:t>5</w:t>
      </w:r>
      <w:r w:rsidR="00C90F36">
        <w:t>2700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5A816E6F" w14:textId="77777777" w:rsidTr="00E710D3">
        <w:trPr>
          <w:trHeight w:val="576"/>
        </w:trPr>
        <w:tc>
          <w:tcPr>
            <w:tcW w:w="4826" w:type="dxa"/>
          </w:tcPr>
          <w:p w14:paraId="7CD8EF12" w14:textId="76FBF0A5" w:rsidR="00E710D3" w:rsidRPr="00E710D3" w:rsidRDefault="00C90F3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7A063C">
              <w:rPr>
                <w:b/>
                <w:caps/>
                <w:szCs w:val="20"/>
              </w:rPr>
              <w:t>APPLICATION OF RJR WATER COMPANY, INC. AND CSWR-TEXAS UTILITY OPERATING COMPANY, LLC FOR SALE, TRANSFER, OR MERGER OF FACILITIES AND CERTIFICATE RIGHTS IN PARKER AND PALO PINTO COUNTIES</w:t>
            </w:r>
          </w:p>
        </w:tc>
        <w:tc>
          <w:tcPr>
            <w:tcW w:w="336" w:type="dxa"/>
            <w:noWrap/>
          </w:tcPr>
          <w:p w14:paraId="29587615" w14:textId="77777777" w:rsidR="00A0628E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B6D6E0" w14:textId="77777777" w:rsidR="00A0628E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E5E21A6" w14:textId="77777777" w:rsidR="00A0628E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C3DA1B7" w14:textId="77777777" w:rsidR="00A0628E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71BD1B" w14:textId="77777777" w:rsidR="00A0628E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D705D32" w14:textId="77777777" w:rsidR="00A0628E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AB41D56" w14:textId="77777777" w:rsidR="00DA790F" w:rsidRPr="008647EB" w:rsidRDefault="00A0628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AD61B6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2E4EF0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3B24EA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276708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04C749C7" w14:textId="68B354B0" w:rsidR="00DA790F" w:rsidRDefault="006A7126" w:rsidP="00C90F36">
      <w:pPr>
        <w:pStyle w:val="CaseCaption"/>
        <w:spacing w:after="0"/>
      </w:pPr>
      <w:r>
        <w:t>COMMISSION STAFF’S</w:t>
      </w:r>
      <w:r w:rsidR="00BB6E21">
        <w:t xml:space="preserve"> </w:t>
      </w:r>
      <w:r w:rsidR="00C90F36">
        <w:t>RESPONSE TO ORDER NO. 11</w:t>
      </w:r>
    </w:p>
    <w:p w14:paraId="50EC5E4C" w14:textId="77777777" w:rsidR="00C90F36" w:rsidRDefault="00C90F36" w:rsidP="00C90F36">
      <w:pPr>
        <w:spacing w:after="0" w:line="240" w:lineRule="auto"/>
      </w:pPr>
      <w:bookmarkStart w:id="2" w:name="_Hlk51227193"/>
      <w:bookmarkStart w:id="3" w:name="_Hlk63326489"/>
    </w:p>
    <w:p w14:paraId="5D3A5C26" w14:textId="34A8B82B" w:rsidR="00C90F36" w:rsidRPr="007A063C" w:rsidRDefault="00C90F36" w:rsidP="00E06ECC">
      <w:pPr>
        <w:spacing w:after="0"/>
      </w:pPr>
      <w:r w:rsidRPr="007A063C">
        <w:t>On October 12, 2021, CSWR-Texas Utility Operating Company, LLC (CSWR-Texas) and RJR Water Company, Inc. (RJR</w:t>
      </w:r>
      <w:r w:rsidR="00BD58BA">
        <w:t xml:space="preserve"> Water</w:t>
      </w:r>
      <w:r w:rsidRPr="007A063C">
        <w:t xml:space="preserve">) (collectively, Applicants) filed an application for approval of the sale and transfer of facilities and certificate rights in Parker and Palo Pinto Counties, Texas.  </w:t>
      </w:r>
    </w:p>
    <w:bookmarkEnd w:id="2"/>
    <w:bookmarkEnd w:id="3"/>
    <w:p w14:paraId="23BD61F6" w14:textId="298787F4" w:rsidR="00F54DF7" w:rsidRDefault="00F54DF7" w:rsidP="00E06ECC">
      <w:pPr>
        <w:pStyle w:val="Paragraph"/>
      </w:pPr>
      <w:r>
        <w:rPr>
          <w:iCs/>
        </w:rPr>
        <w:t>On</w:t>
      </w:r>
      <w:r w:rsidR="006A7126">
        <w:rPr>
          <w:iCs/>
        </w:rPr>
        <w:t xml:space="preserve"> Ju</w:t>
      </w:r>
      <w:r w:rsidR="00C90F36">
        <w:rPr>
          <w:iCs/>
        </w:rPr>
        <w:t>ne 13</w:t>
      </w:r>
      <w:r w:rsidR="006A7126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6A7126">
        <w:rPr>
          <w:iCs/>
        </w:rPr>
        <w:t>1</w:t>
      </w:r>
      <w:r w:rsidR="00C90F36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A7126" w:rsidRPr="006A7126">
        <w:rPr>
          <w:iCs/>
        </w:rPr>
        <w:t>file recommendation</w:t>
      </w:r>
      <w:r w:rsidR="00C91029">
        <w:rPr>
          <w:iCs/>
        </w:rPr>
        <w:t>s</w:t>
      </w:r>
      <w:r w:rsidR="006A7126" w:rsidRPr="006A7126">
        <w:rPr>
          <w:iCs/>
        </w:rPr>
        <w:t xml:space="preserve"> on</w:t>
      </w:r>
      <w:r w:rsidR="00C91029">
        <w:rPr>
          <w:iCs/>
        </w:rPr>
        <w:t xml:space="preserve"> whether 1) </w:t>
      </w:r>
      <w:r w:rsidR="006A7126" w:rsidRPr="006A7126">
        <w:rPr>
          <w:iCs/>
        </w:rPr>
        <w:t xml:space="preserve">the </w:t>
      </w:r>
      <w:r w:rsidR="00C90F36">
        <w:rPr>
          <w:iCs/>
        </w:rPr>
        <w:t>A</w:t>
      </w:r>
      <w:r w:rsidR="006A7126" w:rsidRPr="006A7126">
        <w:rPr>
          <w:iCs/>
        </w:rPr>
        <w:t>pplicants' capital improvement</w:t>
      </w:r>
      <w:r w:rsidR="001E14C6">
        <w:rPr>
          <w:iCs/>
        </w:rPr>
        <w:t>s</w:t>
      </w:r>
      <w:r w:rsidR="006A7126" w:rsidRPr="006A7126">
        <w:rPr>
          <w:iCs/>
        </w:rPr>
        <w:t xml:space="preserve"> plan satisfies the requirements of the Commission, T</w:t>
      </w:r>
      <w:r w:rsidR="00C90F36">
        <w:rPr>
          <w:iCs/>
        </w:rPr>
        <w:t>exas Water Code (T</w:t>
      </w:r>
      <w:r w:rsidR="006A7126" w:rsidRPr="006A7126">
        <w:rPr>
          <w:iCs/>
        </w:rPr>
        <w:t>WC</w:t>
      </w:r>
      <w:r w:rsidR="00C90F36">
        <w:rPr>
          <w:iCs/>
        </w:rPr>
        <w:t>)</w:t>
      </w:r>
      <w:r w:rsidR="006A7126" w:rsidRPr="006A7126">
        <w:rPr>
          <w:iCs/>
        </w:rPr>
        <w:t xml:space="preserve"> § 13.244(d)(3)</w:t>
      </w:r>
      <w:r w:rsidR="009A49EF">
        <w:rPr>
          <w:iCs/>
        </w:rPr>
        <w:t xml:space="preserve"> </w:t>
      </w:r>
      <w:r w:rsidR="006A7126" w:rsidRPr="006A7126">
        <w:rPr>
          <w:iCs/>
        </w:rPr>
        <w:t>and 16 T</w:t>
      </w:r>
      <w:r w:rsidR="00C90F36">
        <w:rPr>
          <w:iCs/>
        </w:rPr>
        <w:t>exas Administrative Code (T</w:t>
      </w:r>
      <w:r w:rsidR="006A7126" w:rsidRPr="006A7126">
        <w:rPr>
          <w:iCs/>
        </w:rPr>
        <w:t>AC</w:t>
      </w:r>
      <w:r w:rsidR="00C90F36">
        <w:rPr>
          <w:iCs/>
        </w:rPr>
        <w:t>)</w:t>
      </w:r>
      <w:r w:rsidR="006A7126" w:rsidRPr="006A7126">
        <w:rPr>
          <w:iCs/>
        </w:rPr>
        <w:t xml:space="preserve"> §</w:t>
      </w:r>
      <w:r w:rsidR="00C90F36">
        <w:rPr>
          <w:iCs/>
        </w:rPr>
        <w:t> </w:t>
      </w:r>
      <w:r w:rsidR="006A7126" w:rsidRPr="006A7126">
        <w:rPr>
          <w:iCs/>
        </w:rPr>
        <w:t>24.233(a)(6)</w:t>
      </w:r>
      <w:r w:rsidR="00C91029">
        <w:rPr>
          <w:iCs/>
        </w:rPr>
        <w:t xml:space="preserve">; 2) </w:t>
      </w:r>
      <w:r w:rsidR="00C90F36">
        <w:rPr>
          <w:iCs/>
        </w:rPr>
        <w:t xml:space="preserve">the </w:t>
      </w:r>
      <w:r w:rsidR="00C91029">
        <w:rPr>
          <w:iCs/>
        </w:rPr>
        <w:t>A</w:t>
      </w:r>
      <w:r w:rsidR="00C90F36">
        <w:rPr>
          <w:iCs/>
        </w:rPr>
        <w:t xml:space="preserve">pplicants provided </w:t>
      </w:r>
      <w:r w:rsidR="006A7126" w:rsidRPr="006A7126">
        <w:rPr>
          <w:iCs/>
        </w:rPr>
        <w:t xml:space="preserve">loan </w:t>
      </w:r>
      <w:r w:rsidR="00497390">
        <w:rPr>
          <w:iCs/>
        </w:rPr>
        <w:t xml:space="preserve">documentation </w:t>
      </w:r>
      <w:r w:rsidR="00C90F36">
        <w:rPr>
          <w:iCs/>
        </w:rPr>
        <w:t xml:space="preserve">in accordance with 16 TAC </w:t>
      </w:r>
      <w:r w:rsidR="00C90F36" w:rsidRPr="006A7126">
        <w:rPr>
          <w:iCs/>
        </w:rPr>
        <w:t>§</w:t>
      </w:r>
      <w:r w:rsidR="00C91029">
        <w:rPr>
          <w:iCs/>
        </w:rPr>
        <w:t> </w:t>
      </w:r>
      <w:r w:rsidR="00C90F36">
        <w:rPr>
          <w:iCs/>
        </w:rPr>
        <w:t xml:space="preserve">24.11(e)(5)(A) </w:t>
      </w:r>
      <w:r w:rsidR="006A7126" w:rsidRPr="006A7126">
        <w:rPr>
          <w:iCs/>
        </w:rPr>
        <w:t xml:space="preserve">or </w:t>
      </w:r>
      <w:r w:rsidR="00E06ECC">
        <w:rPr>
          <w:iCs/>
        </w:rPr>
        <w:t xml:space="preserve">if a </w:t>
      </w:r>
      <w:r w:rsidR="006A7126" w:rsidRPr="006A7126">
        <w:rPr>
          <w:iCs/>
        </w:rPr>
        <w:t>request for a good cause exception</w:t>
      </w:r>
      <w:r w:rsidR="00C90F36">
        <w:rPr>
          <w:iCs/>
        </w:rPr>
        <w:t xml:space="preserve"> </w:t>
      </w:r>
      <w:r w:rsidR="00E06ECC">
        <w:rPr>
          <w:iCs/>
        </w:rPr>
        <w:t>should be granted</w:t>
      </w:r>
      <w:r w:rsidR="00C91029">
        <w:rPr>
          <w:iCs/>
        </w:rPr>
        <w:t>; 3) t</w:t>
      </w:r>
      <w:r w:rsidR="006A7126" w:rsidRPr="006A7126">
        <w:rPr>
          <w:iCs/>
        </w:rPr>
        <w:t xml:space="preserve">he </w:t>
      </w:r>
      <w:r w:rsidR="00C91029">
        <w:rPr>
          <w:iCs/>
        </w:rPr>
        <w:t>A</w:t>
      </w:r>
      <w:r w:rsidR="006A7126" w:rsidRPr="006A7126">
        <w:rPr>
          <w:iCs/>
        </w:rPr>
        <w:t>pplicants</w:t>
      </w:r>
      <w:r w:rsidR="00E06ECC">
        <w:rPr>
          <w:iCs/>
        </w:rPr>
        <w:t xml:space="preserve"> provided </w:t>
      </w:r>
      <w:r w:rsidR="006A7126" w:rsidRPr="006A7126">
        <w:rPr>
          <w:iCs/>
        </w:rPr>
        <w:t>supplement</w:t>
      </w:r>
      <w:r w:rsidR="00497390">
        <w:rPr>
          <w:iCs/>
        </w:rPr>
        <w:t>al</w:t>
      </w:r>
      <w:r w:rsidR="006A7126" w:rsidRPr="006A7126">
        <w:rPr>
          <w:iCs/>
        </w:rPr>
        <w:t xml:space="preserve"> notice</w:t>
      </w:r>
      <w:r w:rsidR="00E06ECC">
        <w:rPr>
          <w:iCs/>
        </w:rPr>
        <w:t xml:space="preserve"> in accordance with TWC </w:t>
      </w:r>
      <w:r w:rsidR="00E06ECC" w:rsidRPr="006A7126">
        <w:rPr>
          <w:iCs/>
        </w:rPr>
        <w:t>§</w:t>
      </w:r>
      <w:r w:rsidR="00E06ECC">
        <w:rPr>
          <w:iCs/>
        </w:rPr>
        <w:t xml:space="preserve"> 13.246(a-1) and 16 TAC </w:t>
      </w:r>
      <w:r w:rsidR="00E06ECC" w:rsidRPr="006A7126">
        <w:rPr>
          <w:iCs/>
        </w:rPr>
        <w:t>§</w:t>
      </w:r>
      <w:r w:rsidR="00E06ECC">
        <w:rPr>
          <w:iCs/>
        </w:rPr>
        <w:t xml:space="preserve"> 24.235(b)(2)</w:t>
      </w:r>
      <w:r w:rsidR="00C91029">
        <w:rPr>
          <w:iCs/>
        </w:rPr>
        <w:t>;</w:t>
      </w:r>
      <w:r w:rsidR="00030FB4">
        <w:rPr>
          <w:iCs/>
        </w:rPr>
        <w:t xml:space="preserve"> and</w:t>
      </w:r>
      <w:r w:rsidR="00C91029">
        <w:rPr>
          <w:iCs/>
        </w:rPr>
        <w:t xml:space="preserve"> 4) </w:t>
      </w:r>
      <w:r w:rsidR="006A7126" w:rsidRPr="006A7126">
        <w:rPr>
          <w:iCs/>
        </w:rPr>
        <w:t xml:space="preserve">the </w:t>
      </w:r>
      <w:r w:rsidR="00C91029">
        <w:rPr>
          <w:iCs/>
        </w:rPr>
        <w:t>A</w:t>
      </w:r>
      <w:r w:rsidR="00E06ECC">
        <w:rPr>
          <w:iCs/>
        </w:rPr>
        <w:t xml:space="preserve">pplicants’ </w:t>
      </w:r>
      <w:r w:rsidR="006A7126" w:rsidRPr="006A7126">
        <w:rPr>
          <w:iCs/>
        </w:rPr>
        <w:t>supplemental materials</w:t>
      </w:r>
      <w:r w:rsidR="00E06ECC">
        <w:rPr>
          <w:iCs/>
        </w:rPr>
        <w:t>, if any, regarding need for service and mapping</w:t>
      </w:r>
      <w:r w:rsidR="00C91029">
        <w:rPr>
          <w:iCs/>
        </w:rPr>
        <w:t>, is sufficient</w:t>
      </w:r>
      <w:r w:rsidR="00E06ECC">
        <w:rPr>
          <w:iCs/>
        </w:rPr>
        <w:t>. On November 8, 2023, the ALJ filed Order No. 17, establishing a deadline of November 20, 2023 for Staff to file its recommendations</w:t>
      </w:r>
      <w:r>
        <w:t>. Therefore, this pleading is timely filed.</w:t>
      </w:r>
    </w:p>
    <w:p w14:paraId="6754057E" w14:textId="77777777" w:rsidR="00E06ECC" w:rsidRPr="004B6D44" w:rsidRDefault="00E06ECC" w:rsidP="00E06ECC">
      <w:pPr>
        <w:pStyle w:val="Paragraph"/>
        <w:rPr>
          <w:iCs/>
        </w:rPr>
      </w:pPr>
    </w:p>
    <w:p w14:paraId="3363E705" w14:textId="5FAC92BD" w:rsidR="00FE5A24" w:rsidRDefault="00BB6E21" w:rsidP="00E06ECC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 xml:space="preserve">RECOMMENDATION ON THE </w:t>
      </w:r>
      <w:r w:rsidR="00E06ECC">
        <w:t>CAPITAL IMPROVEMENT</w:t>
      </w:r>
      <w:r w:rsidR="001E14C6">
        <w:t>S</w:t>
      </w:r>
      <w:r w:rsidR="00E06ECC">
        <w:t xml:space="preserve"> PLAN</w:t>
      </w:r>
    </w:p>
    <w:p w14:paraId="1AA27DB1" w14:textId="12FF075E" w:rsidR="00F54DF7" w:rsidRDefault="00BD58BA" w:rsidP="00E06ECC">
      <w:pPr>
        <w:spacing w:after="0"/>
      </w:pPr>
      <w:r>
        <w:t>Staff has reviewed the updated capital improvement</w:t>
      </w:r>
      <w:r w:rsidR="00030FB4">
        <w:t>s</w:t>
      </w:r>
      <w:r>
        <w:t xml:space="preserve"> plan prov</w:t>
      </w:r>
      <w:r w:rsidR="00EA7A33">
        <w:t xml:space="preserve">ided </w:t>
      </w:r>
      <w:r>
        <w:t xml:space="preserve">on November 6, 2023 and, as detailed in the attached memorandum of Patricia Garcia, Infrastructure Division, recommends that CSWR-Texas' capital improvements plan </w:t>
      </w:r>
      <w:r w:rsidR="00F47141">
        <w:t xml:space="preserve">be approved. </w:t>
      </w:r>
      <w:r>
        <w:t xml:space="preserve">Specifically, CSWR-Texas is proposing to make </w:t>
      </w:r>
      <w:r w:rsidR="00F47141">
        <w:t xml:space="preserve">capital </w:t>
      </w:r>
      <w:r>
        <w:t>improvements to RJR Water’s water system</w:t>
      </w:r>
      <w:r w:rsidR="00F47141">
        <w:t xml:space="preserve"> </w:t>
      </w:r>
      <w:r>
        <w:t xml:space="preserve">and </w:t>
      </w:r>
      <w:r w:rsidR="00030FB4">
        <w:t>the</w:t>
      </w:r>
      <w:r>
        <w:t xml:space="preserve"> updated capital improvement</w:t>
      </w:r>
      <w:r w:rsidR="00F47141">
        <w:t>s</w:t>
      </w:r>
      <w:r>
        <w:t xml:space="preserve"> plan</w:t>
      </w:r>
      <w:r w:rsidR="00030FB4">
        <w:t xml:space="preserve"> </w:t>
      </w:r>
      <w:r>
        <w:t xml:space="preserve">included a budget, an estimated timeline for construction, and a keyed map showing where facilities will be located. Therefore, Staff recommends that </w:t>
      </w:r>
      <w:r w:rsidR="00030FB4">
        <w:t>the</w:t>
      </w:r>
      <w:r>
        <w:t xml:space="preserve"> capital improvement</w:t>
      </w:r>
      <w:r w:rsidR="00F47141">
        <w:t>s</w:t>
      </w:r>
      <w:r>
        <w:t xml:space="preserve"> plan </w:t>
      </w:r>
      <w:r w:rsidR="00F47141">
        <w:t>compl</w:t>
      </w:r>
      <w:r w:rsidR="00030FB4">
        <w:t>ies</w:t>
      </w:r>
      <w:r w:rsidR="00F47141">
        <w:t xml:space="preserve"> with TWC § 13.244(d)(3) and 16 TAC § 24.233(a)(6).</w:t>
      </w:r>
    </w:p>
    <w:p w14:paraId="5851CC10" w14:textId="77777777" w:rsidR="00F47141" w:rsidRPr="00F54DF7" w:rsidRDefault="00F47141" w:rsidP="00E06ECC">
      <w:pPr>
        <w:spacing w:after="0"/>
      </w:pPr>
    </w:p>
    <w:p w14:paraId="66BC9EBA" w14:textId="1BB83DAA" w:rsidR="00F54DF7" w:rsidRDefault="00BB6E21" w:rsidP="00E06ECC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lastRenderedPageBreak/>
        <w:t>RECOMMENDATION ON LOAN DOCUMENTATION</w:t>
      </w:r>
    </w:p>
    <w:p w14:paraId="65596415" w14:textId="64F78171" w:rsidR="00C91029" w:rsidRDefault="00663EE2" w:rsidP="00E06ECC">
      <w:pPr>
        <w:pStyle w:val="Paragraph"/>
      </w:pPr>
      <w:r>
        <w:t xml:space="preserve">Staff has reviewed </w:t>
      </w:r>
      <w:r w:rsidR="00EA7A33">
        <w:t xml:space="preserve">CSWR-Texas’s response regarding </w:t>
      </w:r>
      <w:r>
        <w:t xml:space="preserve">loan documentation </w:t>
      </w:r>
      <w:r w:rsidR="00EA7A33">
        <w:t>under 16 TAC § 24.11(e)(5)(A) and</w:t>
      </w:r>
      <w:r>
        <w:t xml:space="preserve">, as </w:t>
      </w:r>
      <w:r w:rsidR="00EA7A33">
        <w:t>detailed in</w:t>
      </w:r>
      <w:r>
        <w:t xml:space="preserve"> the </w:t>
      </w:r>
      <w:r w:rsidR="00EA7A33">
        <w:t xml:space="preserve">attached </w:t>
      </w:r>
      <w:r>
        <w:t xml:space="preserve">memorandum of Fred Bednarski, Rate Regulation Division, recommends </w:t>
      </w:r>
      <w:r w:rsidR="00EA7A33">
        <w:t>CSWR-Texas has satisfied 16 TAC § 24.11(e)(5). Specifically, Staff notes that CSWR-Texas has sufficient capital to pay for the capital improvements and has a firm capital commitment from its parent as well. Alternatively, if the ALJ were to find that sufficient capital or a firm capital commitment is not sufficient to qualify as loan documentation to satisfy 16 TAC § 24.11(e)(5)(A), Staff recommends that CSWR-Texas’s request for a good cause exception to 16 TAC § 24.11(e)(5)(A) be granted.</w:t>
      </w:r>
    </w:p>
    <w:p w14:paraId="70E4B5BE" w14:textId="77777777" w:rsidR="00EA7A33" w:rsidRPr="00FE5A24" w:rsidRDefault="00EA7A33" w:rsidP="00E06ECC">
      <w:pPr>
        <w:pStyle w:val="Paragraph"/>
      </w:pPr>
    </w:p>
    <w:p w14:paraId="49848EAA" w14:textId="602BC7A2" w:rsidR="00663EE2" w:rsidRDefault="00BB6E21" w:rsidP="00E06ECC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RECOMMENDATION ON SUPPLEMENTED NOTICE</w:t>
      </w:r>
    </w:p>
    <w:p w14:paraId="778A33C5" w14:textId="5067E4EB" w:rsidR="00663EE2" w:rsidRDefault="00663EE2" w:rsidP="00E06ECC">
      <w:pPr>
        <w:pStyle w:val="Paragraph"/>
      </w:pPr>
      <w:r>
        <w:t xml:space="preserve">Staff </w:t>
      </w:r>
      <w:r w:rsidR="00D73796">
        <w:t xml:space="preserve">has reviewed the supplemental proof of notice </w:t>
      </w:r>
      <w:r w:rsidR="004465B0">
        <w:t xml:space="preserve">filed on October 3, 2023 </w:t>
      </w:r>
      <w:r w:rsidR="00D73796">
        <w:t>and recommends that it is sufficient. Specifically, CSWR-Texas provided an affidavit of notice</w:t>
      </w:r>
      <w:r w:rsidR="002F767F">
        <w:t>,</w:t>
      </w:r>
      <w:r w:rsidR="00D73796">
        <w:t xml:space="preserve"> dated </w:t>
      </w:r>
      <w:r w:rsidR="00D67440">
        <w:t>September 27</w:t>
      </w:r>
      <w:r w:rsidR="00D73796">
        <w:t>, 2023</w:t>
      </w:r>
      <w:r w:rsidR="002F767F">
        <w:t xml:space="preserve"> </w:t>
      </w:r>
      <w:r w:rsidR="00D73796">
        <w:t xml:space="preserve">and signed by Aaron Silas, Director of Regulatory Operations of CSWR-Texas, attesting that </w:t>
      </w:r>
      <w:r w:rsidR="001E14C6">
        <w:t xml:space="preserve">each </w:t>
      </w:r>
      <w:r w:rsidR="001F34DF">
        <w:t xml:space="preserve">landowner </w:t>
      </w:r>
      <w:r w:rsidR="001F34DF" w:rsidRPr="00E36FBA">
        <w:t xml:space="preserve">of </w:t>
      </w:r>
      <w:r w:rsidR="001F34DF">
        <w:t xml:space="preserve">a </w:t>
      </w:r>
      <w:r w:rsidR="001F34DF" w:rsidRPr="00E36FBA">
        <w:t xml:space="preserve">tract of land </w:t>
      </w:r>
      <w:r w:rsidR="001F34DF">
        <w:t>that is at least</w:t>
      </w:r>
      <w:r w:rsidR="001F34DF" w:rsidRPr="00E36FBA">
        <w:t xml:space="preserve"> 25 acres</w:t>
      </w:r>
      <w:r w:rsidR="001F34DF">
        <w:t xml:space="preserve"> and is</w:t>
      </w:r>
      <w:r w:rsidR="001F34DF" w:rsidRPr="00E36FBA">
        <w:t xml:space="preserve"> wholly or partially located in the requested area received individual notice by </w:t>
      </w:r>
      <w:r w:rsidR="001F34DF">
        <w:t xml:space="preserve">first-class </w:t>
      </w:r>
      <w:r w:rsidR="001F34DF" w:rsidRPr="00E36FBA">
        <w:t>mail</w:t>
      </w:r>
      <w:r w:rsidR="00D73796" w:rsidRPr="00D73796">
        <w:t>.</w:t>
      </w:r>
      <w:r w:rsidR="00D73796">
        <w:t xml:space="preserve"> Therefore, Staff recommends that the supplemental notice be deemed sufficient</w:t>
      </w:r>
      <w:r w:rsidR="00540EF2">
        <w:t xml:space="preserve">. </w:t>
      </w:r>
      <w:r w:rsidR="001E14C6">
        <w:t xml:space="preserve">Furthermore, the supplemental notices, to the extent that such landowners had not previously received individual notice, were mailed on September 8, 2023. As such, </w:t>
      </w:r>
      <w:r w:rsidR="00540EF2">
        <w:t>Staff also recommends that, to the extent such landowners did not already receive notice,</w:t>
      </w:r>
      <w:r w:rsidR="001F34DF">
        <w:t xml:space="preserve"> any potential deadline for intervention by these landowners, </w:t>
      </w:r>
      <w:r w:rsidR="00540EF2">
        <w:t xml:space="preserve">if </w:t>
      </w:r>
      <w:r w:rsidR="001F34DF">
        <w:t>even allowed at this stage of the proceeding, has already passed</w:t>
      </w:r>
      <w:r w:rsidR="0017317E">
        <w:t xml:space="preserve"> </w:t>
      </w:r>
      <w:r w:rsidR="001435A0">
        <w:t xml:space="preserve">with </w:t>
      </w:r>
      <w:r w:rsidR="0017317E">
        <w:t xml:space="preserve">no requests for intervention </w:t>
      </w:r>
      <w:r w:rsidR="001435A0">
        <w:t xml:space="preserve">being </w:t>
      </w:r>
      <w:r w:rsidR="0017317E">
        <w:t xml:space="preserve">made since </w:t>
      </w:r>
      <w:r w:rsidR="005172DA">
        <w:t xml:space="preserve">supplemental </w:t>
      </w:r>
      <w:r w:rsidR="0017317E">
        <w:t>notice was provided</w:t>
      </w:r>
      <w:r w:rsidR="005172DA">
        <w:t xml:space="preserve"> to these landowners</w:t>
      </w:r>
      <w:r w:rsidR="00D73796">
        <w:t>.</w:t>
      </w:r>
    </w:p>
    <w:p w14:paraId="4788D8A7" w14:textId="77777777" w:rsidR="00497390" w:rsidRPr="00663EE2" w:rsidRDefault="00497390" w:rsidP="00E06ECC">
      <w:pPr>
        <w:pStyle w:val="Paragraph"/>
      </w:pPr>
    </w:p>
    <w:p w14:paraId="46A2D0B9" w14:textId="420F3DCF" w:rsidR="00FD5BFA" w:rsidRDefault="00BB6E21" w:rsidP="00E06ECC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 xml:space="preserve">RECOMMENDATION ON </w:t>
      </w:r>
      <w:r w:rsidR="00CA6032">
        <w:t>NEED FOR SERVICE AND MAPPING</w:t>
      </w:r>
    </w:p>
    <w:p w14:paraId="372F2365" w14:textId="56B7EB4B" w:rsidR="00AD5CB3" w:rsidRDefault="00C91029" w:rsidP="00E06ECC">
      <w:pPr>
        <w:pStyle w:val="Paragraph"/>
      </w:pPr>
      <w:r>
        <w:t xml:space="preserve">Staff has reviewed </w:t>
      </w:r>
      <w:r w:rsidR="00CA6032">
        <w:t xml:space="preserve">CSWR-Texas’s response </w:t>
      </w:r>
      <w:r w:rsidR="00AD5CB3">
        <w:t>regarding need for service and mapping and</w:t>
      </w:r>
      <w:r>
        <w:t xml:space="preserve">, as detailed in Ms. Garcia’s memorandum, recommends that </w:t>
      </w:r>
      <w:r w:rsidR="00AD5CB3">
        <w:t>need for service has been demonstrated.</w:t>
      </w:r>
    </w:p>
    <w:p w14:paraId="5BDCC66A" w14:textId="63510B66" w:rsidR="00497390" w:rsidRPr="00FD5BFA" w:rsidRDefault="00C91029" w:rsidP="00E06ECC">
      <w:pPr>
        <w:pStyle w:val="Paragraph"/>
      </w:pPr>
      <w:r>
        <w:t xml:space="preserve"> </w:t>
      </w:r>
    </w:p>
    <w:p w14:paraId="6448B61B" w14:textId="1277CC4C" w:rsidR="00DA790F" w:rsidRDefault="00B50F0E" w:rsidP="00E06ECC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5E0AD2">
        <w:lastRenderedPageBreak/>
        <w:t>CONCLUSION</w:t>
      </w:r>
    </w:p>
    <w:p w14:paraId="547F182E" w14:textId="0C29E4CF" w:rsidR="00DA790F" w:rsidRDefault="006A7126" w:rsidP="00E06ECC">
      <w:pPr>
        <w:pStyle w:val="Paragraph"/>
      </w:pPr>
      <w:r>
        <w:t>Fo</w:t>
      </w:r>
      <w:r w:rsidRPr="00E307C2">
        <w:t>r the reasons detailed above, Staff respectfully requests the entry of an order consistent with the foregoing recommendations</w:t>
      </w:r>
      <w:r w:rsidR="00313EC3">
        <w:t xml:space="preserve"> finding that the Applicants have sufficiently addressed the issues in Order No. 11</w:t>
      </w:r>
      <w:r w:rsidRPr="00E307C2">
        <w:t>.</w:t>
      </w:r>
      <w:r w:rsidR="00101DD7" w:rsidRPr="0051021C">
        <w:t xml:space="preserve"> </w:t>
      </w:r>
    </w:p>
    <w:p w14:paraId="2ACF7C8C" w14:textId="77777777" w:rsidR="00B50F0E" w:rsidRPr="00F71D87" w:rsidRDefault="00B50F0E" w:rsidP="00E06ECC">
      <w:pPr>
        <w:spacing w:after="0"/>
        <w:ind w:firstLine="0"/>
        <w:rPr>
          <w:szCs w:val="20"/>
        </w:rPr>
      </w:pPr>
    </w:p>
    <w:p w14:paraId="74E9C68C" w14:textId="28A65A73" w:rsidR="00B50F0E" w:rsidRDefault="00B50F0E" w:rsidP="00E06ECC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F2035E">
        <w:rPr>
          <w:noProof/>
        </w:rPr>
        <w:t>November 20, 2023</w:t>
      </w:r>
      <w:r w:rsidRPr="00F71D87">
        <w:fldChar w:fldCharType="end"/>
      </w:r>
    </w:p>
    <w:p w14:paraId="7652D498" w14:textId="77777777" w:rsidR="00E06ECC" w:rsidRPr="00F71D87" w:rsidRDefault="00E06ECC" w:rsidP="00E06ECC">
      <w:pPr>
        <w:keepNext/>
        <w:spacing w:after="0"/>
        <w:ind w:firstLine="0"/>
      </w:pPr>
    </w:p>
    <w:p w14:paraId="4772D1D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1AE8C4A7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6ECD0033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498D93F2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577188A6" w14:textId="77777777" w:rsidR="00B50F0E" w:rsidRPr="00F71D87" w:rsidRDefault="007462E5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39942B10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0444C7BA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494D897F" w14:textId="77777777" w:rsidR="00E06ECC" w:rsidRPr="007A063C" w:rsidRDefault="00E06ECC" w:rsidP="00E06ECC">
      <w:pPr>
        <w:spacing w:after="0" w:line="240" w:lineRule="auto"/>
        <w:ind w:firstLine="4320"/>
        <w:jc w:val="left"/>
      </w:pPr>
      <w:r w:rsidRPr="007A063C">
        <w:t>Ian Groetsch</w:t>
      </w:r>
    </w:p>
    <w:p w14:paraId="3EA0A9D3" w14:textId="77777777" w:rsidR="00E06ECC" w:rsidRPr="007A063C" w:rsidRDefault="00E06ECC" w:rsidP="00E06ECC">
      <w:pPr>
        <w:spacing w:after="0" w:line="240" w:lineRule="auto"/>
        <w:ind w:firstLine="4320"/>
        <w:jc w:val="left"/>
      </w:pPr>
      <w:r w:rsidRPr="007A063C">
        <w:t>Managing Attorney</w:t>
      </w:r>
    </w:p>
    <w:p w14:paraId="349FD194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237F101" w14:textId="77777777" w:rsidR="00E06ECC" w:rsidRPr="007A063C" w:rsidRDefault="00E06ECC" w:rsidP="00E06ECC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6725B630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Scott Miles</w:t>
      </w:r>
    </w:p>
    <w:p w14:paraId="2CCB2EF9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State Bar No. 24098103</w:t>
      </w:r>
    </w:p>
    <w:p w14:paraId="09D5D0A4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1701 N. Congress Avenue</w:t>
      </w:r>
    </w:p>
    <w:p w14:paraId="6AB1D04F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P.O. Box 13326</w:t>
      </w:r>
    </w:p>
    <w:p w14:paraId="42915166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Austin, Texas 78711-3326</w:t>
      </w:r>
    </w:p>
    <w:p w14:paraId="5BEC82B4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936-7228</w:t>
      </w:r>
    </w:p>
    <w:p w14:paraId="1B5F2CA1" w14:textId="77777777" w:rsidR="00E06ECC" w:rsidRPr="007A063C" w:rsidRDefault="00E06ECC" w:rsidP="00E06EC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7A063C">
        <w:t>(512) 936-7268 (facsimile)</w:t>
      </w:r>
    </w:p>
    <w:p w14:paraId="2D3FCBEB" w14:textId="77777777" w:rsidR="00E06ECC" w:rsidRPr="007A063C" w:rsidRDefault="00E06ECC" w:rsidP="00E06ECC">
      <w:pPr>
        <w:spacing w:after="0" w:line="240" w:lineRule="auto"/>
        <w:ind w:left="4320" w:firstLine="0"/>
      </w:pPr>
      <w:r w:rsidRPr="007A063C">
        <w:t>Scott.Miles@puc.texas.gov</w:t>
      </w:r>
    </w:p>
    <w:p w14:paraId="10DA915C" w14:textId="77777777" w:rsidR="00B50F0E" w:rsidRDefault="00B50F0E" w:rsidP="00B50F0E">
      <w:pPr>
        <w:pStyle w:val="Paragraph"/>
        <w:ind w:firstLine="0"/>
      </w:pPr>
    </w:p>
    <w:p w14:paraId="2C0725A1" w14:textId="77777777" w:rsidR="0059201D" w:rsidRPr="0051021C" w:rsidRDefault="0059201D" w:rsidP="00BB5A8B">
      <w:pPr>
        <w:pStyle w:val="Paragraph"/>
        <w:ind w:firstLine="0"/>
      </w:pPr>
    </w:p>
    <w:p w14:paraId="293B559A" w14:textId="5C211728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A0628E" w:rsidRPr="00EF7381">
        <w:t>Docket</w:t>
      </w:r>
      <w:r w:rsidR="00A0628E" w:rsidRPr="00D92C94">
        <w:t xml:space="preserve"> No</w:t>
      </w:r>
      <w:r w:rsidR="00A0628E" w:rsidRPr="008647EB">
        <w:t>.</w:t>
      </w:r>
      <w:r w:rsidR="00A0628E">
        <w:t xml:space="preserve"> 5</w:t>
      </w:r>
      <w:r w:rsidR="00C14438">
        <w:t>2700</w:t>
      </w:r>
      <w:r w:rsidR="00A0628E" w:rsidRPr="00A0628E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44FACB1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FA0E188" w14:textId="3E451CD3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F2035E">
        <w:rPr>
          <w:noProof/>
        </w:rPr>
        <w:t>November 20,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7462E5">
        <w:t>filed</w:t>
      </w:r>
      <w:r w:rsidRPr="00893EAC">
        <w:t xml:space="preserve"> in Project No. 50664.</w:t>
      </w:r>
      <w:r w:rsidR="00C4658E">
        <w:t xml:space="preserve"> </w:t>
      </w:r>
    </w:p>
    <w:p w14:paraId="39F91970" w14:textId="77777777" w:rsidR="00B50F0E" w:rsidRPr="008647EB" w:rsidRDefault="00B50F0E" w:rsidP="00553B64">
      <w:pPr>
        <w:pStyle w:val="Paragraph"/>
        <w:keepNext/>
        <w:keepLines/>
      </w:pPr>
    </w:p>
    <w:p w14:paraId="7B71C647" w14:textId="77777777" w:rsidR="00E06ECC" w:rsidRPr="007A063C" w:rsidRDefault="00E06ECC" w:rsidP="00E06ECC">
      <w:pPr>
        <w:keepNext/>
        <w:spacing w:after="0" w:line="240" w:lineRule="auto"/>
        <w:ind w:left="4320" w:firstLine="0"/>
        <w:rPr>
          <w:snapToGrid w:val="0"/>
        </w:rPr>
      </w:pPr>
      <w:r w:rsidRPr="007A063C">
        <w:rPr>
          <w:u w:val="single"/>
        </w:rPr>
        <w:t xml:space="preserve">  /s/ Scott Miles</w:t>
      </w:r>
      <w:r w:rsidRPr="007A063C">
        <w:rPr>
          <w:u w:val="single"/>
        </w:rPr>
        <w:tab/>
      </w:r>
      <w:r w:rsidRPr="007A063C">
        <w:rPr>
          <w:u w:val="single"/>
        </w:rPr>
        <w:tab/>
      </w:r>
      <w:r w:rsidRPr="007A063C">
        <w:rPr>
          <w:snapToGrid w:val="0"/>
        </w:rPr>
        <w:t xml:space="preserve"> </w:t>
      </w:r>
    </w:p>
    <w:p w14:paraId="3EF716A8" w14:textId="7C824B32" w:rsidR="00DA790F" w:rsidRPr="00893EAC" w:rsidRDefault="00E06ECC" w:rsidP="00C1443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r w:rsidRPr="007A063C">
        <w:t>Scott Miles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1D5C" w14:textId="77777777" w:rsidR="00A0628E" w:rsidRDefault="00A0628E">
      <w:pPr>
        <w:spacing w:after="0" w:line="240" w:lineRule="auto"/>
      </w:pPr>
      <w:r>
        <w:separator/>
      </w:r>
    </w:p>
  </w:endnote>
  <w:endnote w:type="continuationSeparator" w:id="0">
    <w:p w14:paraId="6161331D" w14:textId="77777777" w:rsidR="00A0628E" w:rsidRDefault="00A06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4CA0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57E8F5" w14:textId="77777777" w:rsidR="00071BFA" w:rsidRDefault="00071BFA" w:rsidP="008016FB">
    <w:pPr>
      <w:pStyle w:val="Footer"/>
    </w:pPr>
  </w:p>
  <w:p w14:paraId="7290B420" w14:textId="77777777" w:rsidR="00071BFA" w:rsidRDefault="00071BFA" w:rsidP="008016FB"/>
  <w:p w14:paraId="345B278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68E1B" w14:textId="77777777" w:rsidR="00A0628E" w:rsidRDefault="00A0628E">
      <w:pPr>
        <w:spacing w:after="0" w:line="240" w:lineRule="auto"/>
      </w:pPr>
      <w:r>
        <w:separator/>
      </w:r>
    </w:p>
  </w:footnote>
  <w:footnote w:type="continuationSeparator" w:id="0">
    <w:p w14:paraId="4CCC4437" w14:textId="77777777" w:rsidR="00A0628E" w:rsidRDefault="00A0628E">
      <w:pPr>
        <w:spacing w:after="0" w:line="240" w:lineRule="auto"/>
      </w:pPr>
      <w:r>
        <w:continuationSeparator/>
      </w:r>
    </w:p>
  </w:footnote>
  <w:footnote w:type="continuationNotice" w:id="1">
    <w:p w14:paraId="686DB920" w14:textId="77777777" w:rsidR="00A0628E" w:rsidRDefault="00A062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B2CA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37488647">
    <w:abstractNumId w:val="10"/>
  </w:num>
  <w:num w:numId="2" w16cid:durableId="542332520">
    <w:abstractNumId w:val="24"/>
  </w:num>
  <w:num w:numId="3" w16cid:durableId="96482191">
    <w:abstractNumId w:val="15"/>
  </w:num>
  <w:num w:numId="4" w16cid:durableId="106317342">
    <w:abstractNumId w:val="12"/>
  </w:num>
  <w:num w:numId="5" w16cid:durableId="1091927028">
    <w:abstractNumId w:val="23"/>
  </w:num>
  <w:num w:numId="6" w16cid:durableId="1115098167">
    <w:abstractNumId w:val="22"/>
  </w:num>
  <w:num w:numId="7" w16cid:durableId="392168237">
    <w:abstractNumId w:val="16"/>
  </w:num>
  <w:num w:numId="8" w16cid:durableId="1222713766">
    <w:abstractNumId w:val="17"/>
  </w:num>
  <w:num w:numId="9" w16cid:durableId="553585310">
    <w:abstractNumId w:val="20"/>
  </w:num>
  <w:num w:numId="10" w16cid:durableId="2062558129">
    <w:abstractNumId w:val="21"/>
  </w:num>
  <w:num w:numId="11" w16cid:durableId="1454595725">
    <w:abstractNumId w:val="13"/>
  </w:num>
  <w:num w:numId="12" w16cid:durableId="1146506797">
    <w:abstractNumId w:val="19"/>
  </w:num>
  <w:num w:numId="13" w16cid:durableId="1801068179">
    <w:abstractNumId w:val="9"/>
  </w:num>
  <w:num w:numId="14" w16cid:durableId="925380444">
    <w:abstractNumId w:val="7"/>
  </w:num>
  <w:num w:numId="15" w16cid:durableId="174657587">
    <w:abstractNumId w:val="6"/>
  </w:num>
  <w:num w:numId="16" w16cid:durableId="1153982865">
    <w:abstractNumId w:val="5"/>
  </w:num>
  <w:num w:numId="17" w16cid:durableId="63572231">
    <w:abstractNumId w:val="4"/>
  </w:num>
  <w:num w:numId="18" w16cid:durableId="495270838">
    <w:abstractNumId w:val="8"/>
  </w:num>
  <w:num w:numId="19" w16cid:durableId="1048994791">
    <w:abstractNumId w:val="3"/>
  </w:num>
  <w:num w:numId="20" w16cid:durableId="1698581145">
    <w:abstractNumId w:val="2"/>
  </w:num>
  <w:num w:numId="21" w16cid:durableId="1411735769">
    <w:abstractNumId w:val="1"/>
  </w:num>
  <w:num w:numId="22" w16cid:durableId="1244222046">
    <w:abstractNumId w:val="0"/>
  </w:num>
  <w:num w:numId="23" w16cid:durableId="1073699800">
    <w:abstractNumId w:val="11"/>
  </w:num>
  <w:num w:numId="24" w16cid:durableId="1762138021">
    <w:abstractNumId w:val="14"/>
  </w:num>
  <w:num w:numId="25" w16cid:durableId="1159463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28E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0FB4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5A0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317E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4C6"/>
    <w:rsid w:val="001E1E75"/>
    <w:rsid w:val="001E4676"/>
    <w:rsid w:val="001E55D1"/>
    <w:rsid w:val="001E58F0"/>
    <w:rsid w:val="001E6E61"/>
    <w:rsid w:val="001E7174"/>
    <w:rsid w:val="001F24E2"/>
    <w:rsid w:val="001F2558"/>
    <w:rsid w:val="001F34DF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354A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7F"/>
    <w:rsid w:val="003021A2"/>
    <w:rsid w:val="003033F1"/>
    <w:rsid w:val="00303A45"/>
    <w:rsid w:val="00305298"/>
    <w:rsid w:val="00312843"/>
    <w:rsid w:val="00313EC3"/>
    <w:rsid w:val="00315D1F"/>
    <w:rsid w:val="0031793D"/>
    <w:rsid w:val="00320534"/>
    <w:rsid w:val="00322DE2"/>
    <w:rsid w:val="00323DE8"/>
    <w:rsid w:val="00324D46"/>
    <w:rsid w:val="00324F0F"/>
    <w:rsid w:val="003313F9"/>
    <w:rsid w:val="00332458"/>
    <w:rsid w:val="003326B6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1E99"/>
    <w:rsid w:val="003A2B88"/>
    <w:rsid w:val="003A338C"/>
    <w:rsid w:val="003A53E1"/>
    <w:rsid w:val="003A5DE7"/>
    <w:rsid w:val="003A74EA"/>
    <w:rsid w:val="003B057D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0D55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65B0"/>
    <w:rsid w:val="004478B0"/>
    <w:rsid w:val="004506E3"/>
    <w:rsid w:val="00450C29"/>
    <w:rsid w:val="0045184B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390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471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2DA"/>
    <w:rsid w:val="00517C97"/>
    <w:rsid w:val="00520070"/>
    <w:rsid w:val="00520912"/>
    <w:rsid w:val="005217D6"/>
    <w:rsid w:val="005236C8"/>
    <w:rsid w:val="00524580"/>
    <w:rsid w:val="00535615"/>
    <w:rsid w:val="00535DF6"/>
    <w:rsid w:val="0054012D"/>
    <w:rsid w:val="00540EF2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3759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3EE2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A7126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2E5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588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2443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261C8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69D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49E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628E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D3F"/>
    <w:rsid w:val="00A31228"/>
    <w:rsid w:val="00A3140C"/>
    <w:rsid w:val="00A32388"/>
    <w:rsid w:val="00A3333B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574F4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D5CB3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577B0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B6E21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D58BA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14438"/>
    <w:rsid w:val="00C2125E"/>
    <w:rsid w:val="00C21A50"/>
    <w:rsid w:val="00C22363"/>
    <w:rsid w:val="00C22C9C"/>
    <w:rsid w:val="00C22F7D"/>
    <w:rsid w:val="00C23AFC"/>
    <w:rsid w:val="00C23DA4"/>
    <w:rsid w:val="00C25FEB"/>
    <w:rsid w:val="00C275D3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0F36"/>
    <w:rsid w:val="00C91029"/>
    <w:rsid w:val="00CA0C45"/>
    <w:rsid w:val="00CA3F65"/>
    <w:rsid w:val="00CA5AAF"/>
    <w:rsid w:val="00CA5C56"/>
    <w:rsid w:val="00CA6032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49F4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67440"/>
    <w:rsid w:val="00D70C6A"/>
    <w:rsid w:val="00D7340F"/>
    <w:rsid w:val="00D73796"/>
    <w:rsid w:val="00D75428"/>
    <w:rsid w:val="00D75599"/>
    <w:rsid w:val="00D80404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FE5"/>
    <w:rsid w:val="00DF24CE"/>
    <w:rsid w:val="00DF28E3"/>
    <w:rsid w:val="00DF4741"/>
    <w:rsid w:val="00DF60AA"/>
    <w:rsid w:val="00E01327"/>
    <w:rsid w:val="00E05101"/>
    <w:rsid w:val="00E06ECC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07C2"/>
    <w:rsid w:val="00E35B5D"/>
    <w:rsid w:val="00E36398"/>
    <w:rsid w:val="00E363C9"/>
    <w:rsid w:val="00E419D0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A7A33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035E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141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D5BFA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AD64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footnote text" w:uiPriority="99"/>
    <w:lsdException w:name="footnote reference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uiPriority w:val="99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A5DE7"/>
    <w:rPr>
      <w:sz w:val="24"/>
      <w:szCs w:val="24"/>
    </w:rPr>
  </w:style>
  <w:style w:type="character" w:styleId="CommentReference">
    <w:name w:val="annotation reference"/>
    <w:basedOn w:val="DefaultParagraphFont"/>
    <w:rsid w:val="003A5D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5D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5DE7"/>
  </w:style>
  <w:style w:type="paragraph" w:styleId="CommentSubject">
    <w:name w:val="annotation subject"/>
    <w:basedOn w:val="CommentText"/>
    <w:next w:val="CommentText"/>
    <w:link w:val="CommentSubjectChar"/>
    <w:rsid w:val="003A5D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5D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4F4D35-EBBA-40F1-B2DD-C3390FC9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2023-08-30T21:35:00Z</dcterms:created>
  <dcterms:modified xsi:type="dcterms:W3CDTF">2023-11-20T15:24:00Z</dcterms:modified>
</cp:coreProperties>
</file>